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2B" w:rsidRDefault="00DD542B" w:rsidP="00B15F00">
      <w:pPr>
        <w:jc w:val="center"/>
        <w:rPr>
          <w:b/>
          <w:color w:val="000000"/>
        </w:rPr>
      </w:pPr>
      <w:r>
        <w:rPr>
          <w:b/>
          <w:color w:val="000000"/>
        </w:rPr>
        <w:t>PROJETO DE LEI N</w:t>
      </w:r>
      <w:r w:rsidR="00B15F00" w:rsidRPr="00DD542B">
        <w:rPr>
          <w:b/>
          <w:color w:val="000000"/>
          <w:u w:val="single"/>
          <w:vertAlign w:val="superscript"/>
        </w:rPr>
        <w:t>o</w:t>
      </w:r>
      <w:r>
        <w:rPr>
          <w:b/>
          <w:color w:val="000000"/>
        </w:rPr>
        <w:t xml:space="preserve"> 38/2016</w:t>
      </w:r>
    </w:p>
    <w:p w:rsidR="00DD542B" w:rsidRDefault="00DD542B" w:rsidP="00DD542B">
      <w:pPr>
        <w:ind w:left="3540"/>
        <w:jc w:val="both"/>
        <w:rPr>
          <w:b/>
          <w:color w:val="000000"/>
        </w:rPr>
      </w:pPr>
    </w:p>
    <w:p w:rsidR="00DD542B" w:rsidRDefault="00DD542B" w:rsidP="00DD542B">
      <w:pPr>
        <w:ind w:left="3540"/>
        <w:jc w:val="both"/>
        <w:rPr>
          <w:b/>
          <w:color w:val="000000"/>
        </w:rPr>
      </w:pPr>
      <w:r>
        <w:rPr>
          <w:b/>
          <w:color w:val="000000"/>
        </w:rPr>
        <w:t>ACRESCENTA O § 4</w:t>
      </w:r>
      <w:r w:rsidR="00B15F00">
        <w:rPr>
          <w:b/>
          <w:color w:val="000000"/>
          <w:u w:val="single"/>
          <w:vertAlign w:val="superscript"/>
        </w:rPr>
        <w:t>o</w:t>
      </w:r>
      <w:r>
        <w:rPr>
          <w:b/>
          <w:color w:val="000000"/>
        </w:rPr>
        <w:t>, AO ART. 87 DA LEI N</w:t>
      </w:r>
      <w:r w:rsidR="00B15F00">
        <w:rPr>
          <w:b/>
          <w:color w:val="000000"/>
          <w:u w:val="single"/>
          <w:vertAlign w:val="superscript"/>
        </w:rPr>
        <w:t>o</w:t>
      </w:r>
      <w:r>
        <w:rPr>
          <w:b/>
          <w:color w:val="000000"/>
        </w:rPr>
        <w:t xml:space="preserve"> 2.217, DE 20 DE OUTUBRO DE 1980, QUE DISPÕE SOBRE O SERVIÇO DE TRANSPORTE COLETIVO E DÁ OUTRAS PROVIDÊNCIAS.</w:t>
      </w:r>
    </w:p>
    <w:p w:rsidR="00DD542B" w:rsidRDefault="00DD542B" w:rsidP="00DD542B">
      <w:pPr>
        <w:ind w:left="3686"/>
        <w:jc w:val="both"/>
        <w:rPr>
          <w:b/>
        </w:rPr>
      </w:pPr>
    </w:p>
    <w:p w:rsidR="00DD542B" w:rsidRDefault="00DD542B" w:rsidP="00B15F00">
      <w:pPr>
        <w:pStyle w:val="Cabealho"/>
        <w:tabs>
          <w:tab w:val="left" w:pos="708"/>
        </w:tabs>
        <w:spacing w:line="276" w:lineRule="auto"/>
        <w:ind w:firstLine="1134"/>
        <w:jc w:val="both"/>
        <w:rPr>
          <w:bCs/>
          <w:sz w:val="24"/>
          <w:szCs w:val="24"/>
        </w:rPr>
      </w:pPr>
      <w:r>
        <w:rPr>
          <w:bCs/>
          <w:sz w:val="24"/>
          <w:szCs w:val="24"/>
        </w:rPr>
        <w:t>A Câmara Municipal de Conselheiro Lafaiete, por seus representantes, decretou:</w:t>
      </w:r>
    </w:p>
    <w:p w:rsidR="00DD542B" w:rsidRDefault="00DD542B" w:rsidP="00DD542B">
      <w:pPr>
        <w:jc w:val="both"/>
      </w:pPr>
    </w:p>
    <w:p w:rsidR="00B15F00" w:rsidRDefault="00DD542B" w:rsidP="00B15F00">
      <w:pPr>
        <w:ind w:firstLine="1134"/>
        <w:jc w:val="both"/>
      </w:pPr>
      <w:r>
        <w:t>Art. 1</w:t>
      </w:r>
      <w:r w:rsidRPr="00DD542B">
        <w:rPr>
          <w:u w:val="single"/>
          <w:vertAlign w:val="superscript"/>
        </w:rPr>
        <w:t>o</w:t>
      </w:r>
      <w:r>
        <w:t xml:space="preserve"> - Acresce o § 4</w:t>
      </w:r>
      <w:r w:rsidRPr="00DD542B">
        <w:rPr>
          <w:u w:val="single"/>
          <w:vertAlign w:val="superscript"/>
        </w:rPr>
        <w:t>o</w:t>
      </w:r>
      <w:r>
        <w:t>, ao art. 87 da Lei n</w:t>
      </w:r>
      <w:r w:rsidRPr="00DD542B">
        <w:rPr>
          <w:u w:val="single"/>
          <w:vertAlign w:val="superscript"/>
        </w:rPr>
        <w:t>o</w:t>
      </w:r>
      <w:r>
        <w:t xml:space="preserve"> 2.217, de 20 de outubro de 1980, passando o mesmo a viger com a seguinte redação:</w:t>
      </w:r>
    </w:p>
    <w:p w:rsidR="00B15F00" w:rsidRPr="00B15F00" w:rsidRDefault="00DD542B" w:rsidP="00B15F00">
      <w:pPr>
        <w:ind w:firstLine="1134"/>
        <w:jc w:val="both"/>
        <w:rPr>
          <w:i/>
        </w:rPr>
      </w:pPr>
      <w:r w:rsidRPr="00B15F00">
        <w:rPr>
          <w:i/>
        </w:rPr>
        <w:t>“Art. 87 - Os atuais proprietários de pontos no Município de Conselheiro Lafaiete ficam proibidos de transferi-los, quer por contrato oneroso ou gratuito, ressalvado os casos previstos:</w:t>
      </w:r>
    </w:p>
    <w:p w:rsidR="00DD542B" w:rsidRPr="00B15F00" w:rsidRDefault="00DD542B" w:rsidP="00B15F00">
      <w:pPr>
        <w:ind w:firstLine="1418"/>
        <w:jc w:val="both"/>
        <w:rPr>
          <w:i/>
        </w:rPr>
      </w:pPr>
      <w:r w:rsidRPr="00B15F00">
        <w:rPr>
          <w:i/>
        </w:rPr>
        <w:t>§ 1</w:t>
      </w:r>
      <w:r w:rsidRPr="00B15F00">
        <w:rPr>
          <w:i/>
          <w:u w:val="single"/>
          <w:vertAlign w:val="superscript"/>
        </w:rPr>
        <w:t>o</w:t>
      </w:r>
      <w:r w:rsidRPr="00B15F00">
        <w:rPr>
          <w:i/>
        </w:rPr>
        <w:t xml:space="preserve"> - No caso de falecimento do titular do ponto, os herdeiros legais poderão mediante autorização do município, explorar o serviço de táxi, desde que:</w:t>
      </w:r>
    </w:p>
    <w:p w:rsidR="00DD542B" w:rsidRPr="00B15F00" w:rsidRDefault="00DD542B" w:rsidP="00B15F00">
      <w:pPr>
        <w:ind w:firstLine="1701"/>
        <w:jc w:val="both"/>
        <w:rPr>
          <w:i/>
        </w:rPr>
      </w:pPr>
      <w:r w:rsidRPr="00B15F00">
        <w:rPr>
          <w:i/>
        </w:rPr>
        <w:t>I - comunique o óbito ao órgão municipal competente, no prazo máximo de 90 (noventa) dias;</w:t>
      </w:r>
    </w:p>
    <w:p w:rsidR="00DD542B" w:rsidRPr="00B15F00" w:rsidRDefault="00DD542B" w:rsidP="00B15F00">
      <w:pPr>
        <w:ind w:firstLine="1701"/>
        <w:jc w:val="both"/>
        <w:rPr>
          <w:i/>
        </w:rPr>
      </w:pPr>
      <w:r w:rsidRPr="00B15F00">
        <w:rPr>
          <w:i/>
        </w:rPr>
        <w:t>II - atenda todas as exigências previstas nesta Lei e demais atos vinculados para a obtenção da autorização para a continuidade da exploração do serviço de táxi.</w:t>
      </w:r>
    </w:p>
    <w:p w:rsidR="00DD542B" w:rsidRPr="00B15F00" w:rsidRDefault="00DD542B" w:rsidP="00B15F00">
      <w:pPr>
        <w:ind w:firstLine="1418"/>
        <w:jc w:val="both"/>
        <w:rPr>
          <w:i/>
        </w:rPr>
      </w:pPr>
      <w:r w:rsidRPr="00B15F00">
        <w:rPr>
          <w:i/>
        </w:rPr>
        <w:t>§ 2</w:t>
      </w:r>
      <w:r w:rsidRPr="00B15F00">
        <w:rPr>
          <w:i/>
          <w:u w:val="single"/>
          <w:vertAlign w:val="superscript"/>
        </w:rPr>
        <w:t>o</w:t>
      </w:r>
      <w:r w:rsidRPr="00B15F00">
        <w:rPr>
          <w:i/>
        </w:rPr>
        <w:t xml:space="preserve"> - A autorização para a continuidade da exploração do serviço de táxi será em nome do herdeiro legal.</w:t>
      </w:r>
    </w:p>
    <w:p w:rsidR="00DD542B" w:rsidRPr="00B15F00" w:rsidRDefault="00DD542B" w:rsidP="00B15F00">
      <w:pPr>
        <w:ind w:firstLine="1418"/>
        <w:jc w:val="both"/>
        <w:rPr>
          <w:i/>
        </w:rPr>
      </w:pPr>
      <w:r w:rsidRPr="00B15F00">
        <w:rPr>
          <w:i/>
        </w:rPr>
        <w:t>§ 3</w:t>
      </w:r>
      <w:r w:rsidRPr="00B15F00">
        <w:rPr>
          <w:i/>
          <w:u w:val="single"/>
          <w:vertAlign w:val="superscript"/>
        </w:rPr>
        <w:t>o</w:t>
      </w:r>
      <w:r w:rsidRPr="00B15F00">
        <w:rPr>
          <w:i/>
        </w:rPr>
        <w:t xml:space="preserve"> - Aplica-se o disposto neste artigo no caso titular do ponto deixar de gozar de condição laboral permanente para a exploração do serviço, devidamente comprovado em laudo médico ou em caso de aposentadoria por idade ou por tempo de contribuição.</w:t>
      </w:r>
    </w:p>
    <w:p w:rsidR="00DD542B" w:rsidRPr="00B15F00" w:rsidRDefault="00DD542B" w:rsidP="00B15F00">
      <w:pPr>
        <w:ind w:firstLine="1418"/>
        <w:jc w:val="both"/>
        <w:rPr>
          <w:b/>
          <w:i/>
        </w:rPr>
      </w:pPr>
      <w:proofErr w:type="gramStart"/>
      <w:r w:rsidRPr="00B15F00">
        <w:rPr>
          <w:b/>
          <w:i/>
        </w:rPr>
        <w:t>§ 4</w:t>
      </w:r>
      <w:r w:rsidRPr="00B15F00">
        <w:rPr>
          <w:b/>
          <w:i/>
          <w:u w:val="single"/>
          <w:vertAlign w:val="superscript"/>
        </w:rPr>
        <w:t>o</w:t>
      </w:r>
      <w:r w:rsidRPr="00B15F00">
        <w:rPr>
          <w:b/>
          <w:i/>
        </w:rPr>
        <w:t xml:space="preserve"> - Aplica-se também o disposto no caput deste artigo no caso de divórcio, judicial ou extrajudicial, dissolução de união estável, partilha de bens, extinção de condomínio ou doação de ascendente para descendente, nas hipóteses em que a titularidade do ponto fique com um sucessor legal do atual titular do ponto.”</w:t>
      </w:r>
      <w:proofErr w:type="gramEnd"/>
    </w:p>
    <w:p w:rsidR="00DD542B" w:rsidRDefault="00DD542B" w:rsidP="00DD542B">
      <w:pPr>
        <w:ind w:firstLine="709"/>
        <w:jc w:val="both"/>
        <w:rPr>
          <w:b/>
        </w:rPr>
      </w:pPr>
    </w:p>
    <w:p w:rsidR="00DD542B" w:rsidRDefault="00DD542B" w:rsidP="00DD542B">
      <w:pPr>
        <w:jc w:val="both"/>
        <w:rPr>
          <w:b/>
        </w:rPr>
      </w:pPr>
      <w:r>
        <w:tab/>
        <w:t>Art. 2</w:t>
      </w:r>
      <w:r w:rsidRPr="00DD542B">
        <w:rPr>
          <w:u w:val="single"/>
          <w:vertAlign w:val="superscript"/>
        </w:rPr>
        <w:t>o</w:t>
      </w:r>
      <w:r>
        <w:t xml:space="preserve"> - Esta lei entra em vigor na data de sua publicação. </w:t>
      </w:r>
    </w:p>
    <w:p w:rsidR="00DD542B" w:rsidRDefault="00DD542B" w:rsidP="00DD542B">
      <w:pPr>
        <w:jc w:val="both"/>
        <w:rPr>
          <w:rFonts w:eastAsia="Calibri"/>
          <w:lang w:eastAsia="en-US"/>
        </w:rPr>
      </w:pPr>
    </w:p>
    <w:p w:rsidR="00DD542B" w:rsidRDefault="00DD542B" w:rsidP="00DD542B">
      <w:pPr>
        <w:jc w:val="center"/>
      </w:pPr>
    </w:p>
    <w:p w:rsidR="00186441" w:rsidRDefault="00186441" w:rsidP="00186441">
      <w:pPr>
        <w:jc w:val="center"/>
      </w:pPr>
    </w:p>
    <w:p w:rsidR="00186441" w:rsidRDefault="00186441" w:rsidP="00186441">
      <w:pPr>
        <w:jc w:val="center"/>
      </w:pPr>
      <w:r>
        <w:t>SALA DAS SESSÕES, 09 DE JUNHO DE 2016.</w:t>
      </w:r>
    </w:p>
    <w:p w:rsidR="00186441" w:rsidRDefault="00186441" w:rsidP="00186441">
      <w:pPr>
        <w:jc w:val="both"/>
      </w:pPr>
    </w:p>
    <w:p w:rsidR="00186441" w:rsidRDefault="00186441" w:rsidP="00186441">
      <w:pPr>
        <w:jc w:val="center"/>
      </w:pPr>
    </w:p>
    <w:p w:rsidR="00186441" w:rsidRDefault="00186441" w:rsidP="00186441">
      <w:pPr>
        <w:jc w:val="center"/>
      </w:pPr>
      <w:bookmarkStart w:id="0" w:name="_GoBack"/>
      <w:bookmarkEnd w:id="0"/>
    </w:p>
    <w:p w:rsidR="00186441" w:rsidRDefault="00186441" w:rsidP="00186441">
      <w:pPr>
        <w:jc w:val="center"/>
      </w:pPr>
      <w:r>
        <w:t>VEREADOR JOSÉ RICARDO SÍRIO</w:t>
      </w:r>
    </w:p>
    <w:p w:rsidR="00186441" w:rsidRDefault="00186441" w:rsidP="00186441">
      <w:pPr>
        <w:jc w:val="both"/>
      </w:pPr>
    </w:p>
    <w:p w:rsidR="00186441" w:rsidRDefault="00186441" w:rsidP="00186441">
      <w:pPr>
        <w:jc w:val="both"/>
      </w:pPr>
    </w:p>
    <w:p w:rsidR="00186441" w:rsidRDefault="00186441" w:rsidP="00186441">
      <w:pPr>
        <w:jc w:val="both"/>
      </w:pPr>
    </w:p>
    <w:p w:rsidR="00186441" w:rsidRDefault="00186441" w:rsidP="00186441">
      <w:pPr>
        <w:jc w:val="both"/>
      </w:pPr>
    </w:p>
    <w:p w:rsidR="006B7EB6" w:rsidRDefault="006B7EB6" w:rsidP="006B7EB6">
      <w:pPr>
        <w:jc w:val="center"/>
        <w:rPr>
          <w:b/>
        </w:rPr>
      </w:pPr>
    </w:p>
    <w:p w:rsidR="006B7EB6" w:rsidRDefault="006B7EB6" w:rsidP="006B7EB6">
      <w:pPr>
        <w:jc w:val="center"/>
        <w:rPr>
          <w:b/>
        </w:rPr>
      </w:pPr>
    </w:p>
    <w:p w:rsidR="00DD542B" w:rsidRDefault="00DD542B" w:rsidP="00DD542B">
      <w:pPr>
        <w:jc w:val="both"/>
      </w:pPr>
    </w:p>
    <w:p w:rsidR="00DD542B" w:rsidRDefault="00DD542B" w:rsidP="00DD542B">
      <w:pPr>
        <w:jc w:val="both"/>
      </w:pPr>
    </w:p>
    <w:p w:rsidR="00DD542B" w:rsidRDefault="00DD542B" w:rsidP="00DD542B">
      <w:pPr>
        <w:jc w:val="both"/>
      </w:pPr>
    </w:p>
    <w:p w:rsidR="00DD542B" w:rsidRDefault="00DD542B" w:rsidP="00DD542B">
      <w:pPr>
        <w:jc w:val="both"/>
      </w:pPr>
    </w:p>
    <w:p w:rsidR="00DD542B" w:rsidRDefault="00DD542B" w:rsidP="00DD542B">
      <w:pPr>
        <w:jc w:val="both"/>
      </w:pPr>
    </w:p>
    <w:p w:rsidR="00DD542B" w:rsidRDefault="00DD542B" w:rsidP="00DD542B">
      <w:pPr>
        <w:jc w:val="center"/>
        <w:rPr>
          <w:b/>
        </w:rPr>
      </w:pPr>
      <w:r>
        <w:rPr>
          <w:b/>
        </w:rPr>
        <w:t>JUSTIFICATIVA</w:t>
      </w:r>
    </w:p>
    <w:p w:rsidR="00DD542B" w:rsidRDefault="00DD542B" w:rsidP="00DD542B">
      <w:pPr>
        <w:jc w:val="both"/>
      </w:pPr>
    </w:p>
    <w:p w:rsidR="00DD542B" w:rsidRDefault="00B15F00" w:rsidP="00DD542B">
      <w:pPr>
        <w:jc w:val="both"/>
        <w:rPr>
          <w:color w:val="000000"/>
        </w:rPr>
      </w:pPr>
      <w:r>
        <w:rPr>
          <w:color w:val="000000"/>
        </w:rPr>
        <w:tab/>
      </w:r>
      <w:r w:rsidR="00DD542B">
        <w:rPr>
          <w:color w:val="000000"/>
        </w:rPr>
        <w:t>O projeto de lei em questão visa sanar algumas omissões na redação dada ao art. 87 da Lei n. 2.217/1980, que dispõe sobre o serviço de transporte coletivo no Município de Conselheiro Lafaiete/MG, com intuito de dar amparo legal aos proprietários de taxi, na continuidade na prestação dos serviços.</w:t>
      </w:r>
    </w:p>
    <w:p w:rsidR="00B15F00" w:rsidRDefault="00B15F00" w:rsidP="00B15F00">
      <w:pPr>
        <w:jc w:val="both"/>
        <w:rPr>
          <w:color w:val="000000"/>
        </w:rPr>
      </w:pPr>
      <w:r>
        <w:rPr>
          <w:color w:val="000000"/>
        </w:rPr>
        <w:tab/>
      </w:r>
      <w:r w:rsidR="00DD542B">
        <w:rPr>
          <w:color w:val="000000"/>
        </w:rPr>
        <w:t>Visa também o dar aparo legal aos cônjuges, aos companheiros, as companheiras e aos descendentes.</w:t>
      </w:r>
    </w:p>
    <w:p w:rsidR="00DD542B" w:rsidRDefault="00B15F00" w:rsidP="00B15F00">
      <w:pPr>
        <w:jc w:val="both"/>
        <w:rPr>
          <w:color w:val="000000"/>
        </w:rPr>
      </w:pPr>
      <w:r>
        <w:rPr>
          <w:color w:val="000000"/>
        </w:rPr>
        <w:tab/>
      </w:r>
      <w:r w:rsidR="00DD542B">
        <w:rPr>
          <w:color w:val="000000"/>
        </w:rPr>
        <w:t xml:space="preserve">Por tais razões, conto com o apoio dos nobres pares para aprovação do projeto de lei. </w:t>
      </w:r>
    </w:p>
    <w:p w:rsidR="00DD542B" w:rsidRDefault="00DD542B" w:rsidP="00DD542B">
      <w:pPr>
        <w:jc w:val="both"/>
        <w:rPr>
          <w:rFonts w:eastAsia="Calibri"/>
          <w:lang w:eastAsia="en-US"/>
        </w:rPr>
      </w:pPr>
    </w:p>
    <w:p w:rsidR="00DD542B" w:rsidRDefault="00DD542B" w:rsidP="00DD542B">
      <w:pPr>
        <w:jc w:val="both"/>
      </w:pPr>
    </w:p>
    <w:p w:rsidR="00B15F00" w:rsidRDefault="00B15F00" w:rsidP="00B15F00">
      <w:pPr>
        <w:jc w:val="center"/>
      </w:pPr>
      <w:r>
        <w:t>SALA DAS SESSÕES, 09 DE JUNHO DE 2016.</w:t>
      </w:r>
    </w:p>
    <w:p w:rsidR="00B15F00" w:rsidRDefault="00B15F00" w:rsidP="00B15F00">
      <w:pPr>
        <w:jc w:val="both"/>
      </w:pPr>
    </w:p>
    <w:p w:rsidR="00B15F00" w:rsidRDefault="00B15F00" w:rsidP="00B15F00">
      <w:pPr>
        <w:jc w:val="center"/>
      </w:pPr>
    </w:p>
    <w:p w:rsidR="00B15F00" w:rsidRDefault="00B15F00" w:rsidP="00B15F00">
      <w:pPr>
        <w:jc w:val="center"/>
      </w:pPr>
    </w:p>
    <w:p w:rsidR="00B15F00" w:rsidRDefault="00B15F00" w:rsidP="00B15F00">
      <w:pPr>
        <w:jc w:val="center"/>
      </w:pPr>
      <w:r>
        <w:t>VEREADOR JOSÉ RICARDO SÍRIO</w:t>
      </w:r>
    </w:p>
    <w:p w:rsidR="00DD542B" w:rsidRDefault="00DD542B" w:rsidP="00DD542B">
      <w:pPr>
        <w:jc w:val="both"/>
      </w:pPr>
    </w:p>
    <w:p w:rsidR="00DD542B" w:rsidRDefault="00DD542B" w:rsidP="00DD542B">
      <w:pPr>
        <w:jc w:val="both"/>
      </w:pPr>
    </w:p>
    <w:p w:rsidR="00462359" w:rsidRPr="00DD542B" w:rsidRDefault="00462359" w:rsidP="00DD542B">
      <w:pPr>
        <w:jc w:val="center"/>
      </w:pPr>
    </w:p>
    <w:sectPr w:rsidR="00462359" w:rsidRPr="00DD542B" w:rsidSect="00DD542B">
      <w:headerReference w:type="default" r:id="rId6"/>
      <w:footerReference w:type="default" r:id="rId7"/>
      <w:pgSz w:w="11907" w:h="16840" w:code="9"/>
      <w:pgMar w:top="1701"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31F" w:rsidRDefault="004E631F" w:rsidP="00EC0269">
      <w:r>
        <w:separator/>
      </w:r>
    </w:p>
  </w:endnote>
  <w:endnote w:type="continuationSeparator" w:id="1">
    <w:p w:rsidR="004E631F" w:rsidRDefault="004E631F" w:rsidP="00EC02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1F" w:rsidRDefault="004E631F">
    <w:pPr>
      <w:pStyle w:val="Rodap"/>
      <w:pBdr>
        <w:top w:val="single" w:sz="4" w:space="1" w:color="auto"/>
      </w:pBdr>
      <w:jc w:val="center"/>
      <w:rPr>
        <w:sz w:val="22"/>
      </w:rPr>
    </w:pPr>
    <w:r>
      <w:rPr>
        <w:sz w:val="22"/>
      </w:rPr>
      <w:t>Rua Assis Andrade, 540 – Centro – CEP 36.400-000 – Conselheiro Lafaiete – MG</w:t>
    </w:r>
  </w:p>
  <w:p w:rsidR="004E631F" w:rsidRDefault="004E631F">
    <w:pPr>
      <w:pStyle w:val="Rodap"/>
      <w:jc w:val="center"/>
      <w:rPr>
        <w:sz w:val="22"/>
      </w:rPr>
    </w:pPr>
    <w:r>
      <w:rPr>
        <w:sz w:val="22"/>
      </w:rPr>
      <w:t>Fone (0**31) 3769-8100 – Fax (0**31) 3769-8103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31F" w:rsidRDefault="004E631F" w:rsidP="00EC0269">
      <w:r>
        <w:separator/>
      </w:r>
    </w:p>
  </w:footnote>
  <w:footnote w:type="continuationSeparator" w:id="1">
    <w:p w:rsidR="004E631F" w:rsidRDefault="004E631F" w:rsidP="00EC0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1F" w:rsidRDefault="004E631F" w:rsidP="00462359">
    <w:pPr>
      <w:pStyle w:val="Cabealho"/>
      <w:jc w:val="center"/>
      <w:rPr>
        <w:b/>
        <w:sz w:val="40"/>
      </w:rPr>
    </w:pPr>
    <w:r>
      <w:rPr>
        <w:b/>
        <w:noProof/>
        <w:sz w:val="40"/>
      </w:rPr>
      <w:drawing>
        <wp:anchor distT="0" distB="0" distL="114300" distR="114300" simplePos="0" relativeHeight="251659264" behindDoc="1" locked="0" layoutInCell="0" allowOverlap="1">
          <wp:simplePos x="0" y="0"/>
          <wp:positionH relativeFrom="column">
            <wp:posOffset>-80010</wp:posOffset>
          </wp:positionH>
          <wp:positionV relativeFrom="paragraph">
            <wp:posOffset>-84455</wp:posOffset>
          </wp:positionV>
          <wp:extent cx="817880" cy="921385"/>
          <wp:effectExtent l="0" t="0" r="1270" b="0"/>
          <wp:wrapTight wrapText="bothSides">
            <wp:wrapPolygon edited="0">
              <wp:start x="0" y="0"/>
              <wp:lineTo x="0" y="20990"/>
              <wp:lineTo x="21130" y="20990"/>
              <wp:lineTo x="21130" y="0"/>
              <wp:lineTo x="0" y="0"/>
            </wp:wrapPolygon>
          </wp:wrapTight>
          <wp:docPr id="1" name="Imagem 1" descr="cama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ra2"/>
                  <pic:cNvPicPr>
                    <a:picLocks noChangeAspect="1" noChangeArrowheads="1"/>
                  </pic:cNvPicPr>
                </pic:nvPicPr>
                <pic:blipFill>
                  <a:blip r:embed="rId1">
                    <a:lum bright="12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880" cy="921385"/>
                  </a:xfrm>
                  <a:prstGeom prst="rect">
                    <a:avLst/>
                  </a:prstGeom>
                  <a:noFill/>
                </pic:spPr>
              </pic:pic>
            </a:graphicData>
          </a:graphic>
        </wp:anchor>
      </w:drawing>
    </w:r>
    <w:r>
      <w:rPr>
        <w:b/>
        <w:sz w:val="40"/>
      </w:rPr>
      <w:t>Câmara Municipal de Conselheiro Lafaiete</w:t>
    </w:r>
  </w:p>
  <w:p w:rsidR="004E631F" w:rsidRDefault="004E631F">
    <w:pPr>
      <w:pStyle w:val="Cabealho"/>
      <w:jc w:val="center"/>
      <w:rPr>
        <w:b/>
        <w:sz w:val="24"/>
      </w:rPr>
    </w:pPr>
    <w:r>
      <w:rPr>
        <w:b/>
        <w:sz w:val="24"/>
      </w:rPr>
      <w:t>ESTADO DE MINAS GERAIS</w:t>
    </w:r>
  </w:p>
  <w:p w:rsidR="004E631F" w:rsidRDefault="004E631F">
    <w:pPr>
      <w:pStyle w:val="Cabealho"/>
      <w:jc w:val="center"/>
      <w:rPr>
        <w:b/>
        <w:sz w:val="24"/>
      </w:rPr>
    </w:pPr>
  </w:p>
  <w:p w:rsidR="004E631F" w:rsidRDefault="004E631F">
    <w:pPr>
      <w:pStyle w:val="Cabealho"/>
      <w:jc w:val="center"/>
      <w:rPr>
        <w:b/>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D54021"/>
    <w:rsid w:val="00027CB6"/>
    <w:rsid w:val="00096833"/>
    <w:rsid w:val="000B4810"/>
    <w:rsid w:val="00186441"/>
    <w:rsid w:val="00247D55"/>
    <w:rsid w:val="002811EB"/>
    <w:rsid w:val="00291026"/>
    <w:rsid w:val="002B301F"/>
    <w:rsid w:val="002C5D4B"/>
    <w:rsid w:val="003A7598"/>
    <w:rsid w:val="00462359"/>
    <w:rsid w:val="004E631F"/>
    <w:rsid w:val="006738DC"/>
    <w:rsid w:val="006B7EB6"/>
    <w:rsid w:val="00735DD8"/>
    <w:rsid w:val="007C4DA0"/>
    <w:rsid w:val="008316CB"/>
    <w:rsid w:val="00954EB4"/>
    <w:rsid w:val="00AB74E1"/>
    <w:rsid w:val="00B15F00"/>
    <w:rsid w:val="00C3138E"/>
    <w:rsid w:val="00C4328F"/>
    <w:rsid w:val="00CA2B9C"/>
    <w:rsid w:val="00D54021"/>
    <w:rsid w:val="00D933FB"/>
    <w:rsid w:val="00DD542B"/>
    <w:rsid w:val="00E424BA"/>
    <w:rsid w:val="00E61240"/>
    <w:rsid w:val="00EC0269"/>
    <w:rsid w:val="00F5243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54021"/>
    <w:pPr>
      <w:tabs>
        <w:tab w:val="center" w:pos="4419"/>
        <w:tab w:val="right" w:pos="8838"/>
      </w:tabs>
    </w:pPr>
    <w:rPr>
      <w:sz w:val="20"/>
      <w:szCs w:val="20"/>
    </w:rPr>
  </w:style>
  <w:style w:type="character" w:customStyle="1" w:styleId="CabealhoChar">
    <w:name w:val="Cabeçalho Char"/>
    <w:basedOn w:val="Fontepargpadro"/>
    <w:link w:val="Cabealho"/>
    <w:rsid w:val="00D54021"/>
    <w:rPr>
      <w:rFonts w:ascii="Times New Roman" w:eastAsia="Times New Roman" w:hAnsi="Times New Roman" w:cs="Times New Roman"/>
      <w:sz w:val="20"/>
      <w:szCs w:val="20"/>
      <w:lang w:eastAsia="pt-BR"/>
    </w:rPr>
  </w:style>
  <w:style w:type="paragraph" w:styleId="Rodap">
    <w:name w:val="footer"/>
    <w:basedOn w:val="Normal"/>
    <w:link w:val="RodapChar"/>
    <w:rsid w:val="00D54021"/>
    <w:pPr>
      <w:tabs>
        <w:tab w:val="center" w:pos="4419"/>
        <w:tab w:val="right" w:pos="8838"/>
      </w:tabs>
    </w:pPr>
    <w:rPr>
      <w:sz w:val="20"/>
      <w:szCs w:val="20"/>
    </w:rPr>
  </w:style>
  <w:style w:type="character" w:customStyle="1" w:styleId="RodapChar">
    <w:name w:val="Rodapé Char"/>
    <w:basedOn w:val="Fontepargpadro"/>
    <w:link w:val="Rodap"/>
    <w:rsid w:val="00D54021"/>
    <w:rPr>
      <w:rFonts w:ascii="Times New Roman" w:eastAsia="Times New Roman" w:hAnsi="Times New Roman" w:cs="Times New Roman"/>
      <w:sz w:val="20"/>
      <w:szCs w:val="20"/>
      <w:lang w:eastAsia="pt-BR"/>
    </w:rPr>
  </w:style>
  <w:style w:type="character" w:customStyle="1" w:styleId="corpo1">
    <w:name w:val="corpo1"/>
    <w:basedOn w:val="Fontepargpadro"/>
    <w:rsid w:val="00D54021"/>
    <w:rPr>
      <w:rFonts w:ascii="Verdana" w:hAnsi="Verdana" w:hint="default"/>
      <w:strike w:val="0"/>
      <w:dstrike w:val="0"/>
      <w:color w:val="000000"/>
      <w:sz w:val="18"/>
      <w:szCs w:val="18"/>
      <w:u w:val="none"/>
      <w:effect w:val="none"/>
    </w:rPr>
  </w:style>
  <w:style w:type="paragraph" w:styleId="Recuodecorpodetexto2">
    <w:name w:val="Body Text Indent 2"/>
    <w:basedOn w:val="Normal"/>
    <w:link w:val="Recuodecorpodetexto2Char"/>
    <w:rsid w:val="00D54021"/>
    <w:pPr>
      <w:spacing w:after="120" w:line="480" w:lineRule="auto"/>
      <w:ind w:left="283"/>
    </w:pPr>
  </w:style>
  <w:style w:type="character" w:customStyle="1" w:styleId="Recuodecorpodetexto2Char">
    <w:name w:val="Recuo de corpo de texto 2 Char"/>
    <w:basedOn w:val="Fontepargpadro"/>
    <w:link w:val="Recuodecorpodetexto2"/>
    <w:rsid w:val="00D5402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738DC"/>
    <w:rPr>
      <w:rFonts w:ascii="Tahoma" w:hAnsi="Tahoma" w:cs="Tahoma"/>
      <w:sz w:val="16"/>
      <w:szCs w:val="16"/>
    </w:rPr>
  </w:style>
  <w:style w:type="character" w:customStyle="1" w:styleId="TextodebaloChar">
    <w:name w:val="Texto de balão Char"/>
    <w:basedOn w:val="Fontepargpadro"/>
    <w:link w:val="Textodebalo"/>
    <w:uiPriority w:val="99"/>
    <w:semiHidden/>
    <w:rsid w:val="006738DC"/>
    <w:rPr>
      <w:rFonts w:ascii="Tahoma" w:eastAsia="Times New Roman" w:hAnsi="Tahoma" w:cs="Tahoma"/>
      <w:sz w:val="16"/>
      <w:szCs w:val="16"/>
      <w:lang w:eastAsia="pt-BR"/>
    </w:rPr>
  </w:style>
  <w:style w:type="table" w:styleId="Tabelacomgrade">
    <w:name w:val="Table Grid"/>
    <w:basedOn w:val="Tabelanormal"/>
    <w:uiPriority w:val="59"/>
    <w:rsid w:val="000968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54021"/>
    <w:pPr>
      <w:tabs>
        <w:tab w:val="center" w:pos="4419"/>
        <w:tab w:val="right" w:pos="8838"/>
      </w:tabs>
    </w:pPr>
    <w:rPr>
      <w:sz w:val="20"/>
      <w:szCs w:val="20"/>
    </w:rPr>
  </w:style>
  <w:style w:type="character" w:customStyle="1" w:styleId="CabealhoChar">
    <w:name w:val="Cabeçalho Char"/>
    <w:basedOn w:val="Fontepargpadro"/>
    <w:link w:val="Cabealho"/>
    <w:rsid w:val="00D54021"/>
    <w:rPr>
      <w:rFonts w:ascii="Times New Roman" w:eastAsia="Times New Roman" w:hAnsi="Times New Roman" w:cs="Times New Roman"/>
      <w:sz w:val="20"/>
      <w:szCs w:val="20"/>
      <w:lang w:eastAsia="pt-BR"/>
    </w:rPr>
  </w:style>
  <w:style w:type="paragraph" w:styleId="Rodap">
    <w:name w:val="footer"/>
    <w:basedOn w:val="Normal"/>
    <w:link w:val="RodapChar"/>
    <w:rsid w:val="00D54021"/>
    <w:pPr>
      <w:tabs>
        <w:tab w:val="center" w:pos="4419"/>
        <w:tab w:val="right" w:pos="8838"/>
      </w:tabs>
    </w:pPr>
    <w:rPr>
      <w:sz w:val="20"/>
      <w:szCs w:val="20"/>
    </w:rPr>
  </w:style>
  <w:style w:type="character" w:customStyle="1" w:styleId="RodapChar">
    <w:name w:val="Rodapé Char"/>
    <w:basedOn w:val="Fontepargpadro"/>
    <w:link w:val="Rodap"/>
    <w:rsid w:val="00D54021"/>
    <w:rPr>
      <w:rFonts w:ascii="Times New Roman" w:eastAsia="Times New Roman" w:hAnsi="Times New Roman" w:cs="Times New Roman"/>
      <w:sz w:val="20"/>
      <w:szCs w:val="20"/>
      <w:lang w:eastAsia="pt-BR"/>
    </w:rPr>
  </w:style>
  <w:style w:type="character" w:customStyle="1" w:styleId="corpo1">
    <w:name w:val="corpo1"/>
    <w:basedOn w:val="Fontepargpadro"/>
    <w:rsid w:val="00D54021"/>
    <w:rPr>
      <w:rFonts w:ascii="Verdana" w:hAnsi="Verdana" w:hint="default"/>
      <w:strike w:val="0"/>
      <w:dstrike w:val="0"/>
      <w:color w:val="000000"/>
      <w:sz w:val="18"/>
      <w:szCs w:val="18"/>
      <w:u w:val="none"/>
      <w:effect w:val="none"/>
    </w:rPr>
  </w:style>
  <w:style w:type="paragraph" w:styleId="Recuodecorpodetexto2">
    <w:name w:val="Body Text Indent 2"/>
    <w:basedOn w:val="Normal"/>
    <w:link w:val="Recuodecorpodetexto2Char"/>
    <w:rsid w:val="00D54021"/>
    <w:pPr>
      <w:spacing w:after="120" w:line="480" w:lineRule="auto"/>
      <w:ind w:left="283"/>
    </w:pPr>
  </w:style>
  <w:style w:type="character" w:customStyle="1" w:styleId="Recuodecorpodetexto2Char">
    <w:name w:val="Recuo de corpo de texto 2 Char"/>
    <w:basedOn w:val="Fontepargpadro"/>
    <w:link w:val="Recuodecorpodetexto2"/>
    <w:rsid w:val="00D5402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738DC"/>
    <w:rPr>
      <w:rFonts w:ascii="Tahoma" w:hAnsi="Tahoma" w:cs="Tahoma"/>
      <w:sz w:val="16"/>
      <w:szCs w:val="16"/>
    </w:rPr>
  </w:style>
  <w:style w:type="character" w:customStyle="1" w:styleId="TextodebaloChar">
    <w:name w:val="Texto de balão Char"/>
    <w:basedOn w:val="Fontepargpadro"/>
    <w:link w:val="Textodebalo"/>
    <w:uiPriority w:val="99"/>
    <w:semiHidden/>
    <w:rsid w:val="006738DC"/>
    <w:rPr>
      <w:rFonts w:ascii="Tahoma" w:eastAsia="Times New Roman" w:hAnsi="Tahoma" w:cs="Tahoma"/>
      <w:sz w:val="16"/>
      <w:szCs w:val="16"/>
      <w:lang w:eastAsia="pt-BR"/>
    </w:rPr>
  </w:style>
  <w:style w:type="table" w:styleId="Tabelacomgrade">
    <w:name w:val="Table Grid"/>
    <w:basedOn w:val="Tabelanormal"/>
    <w:uiPriority w:val="59"/>
    <w:rsid w:val="000968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906110790">
      <w:bodyDiv w:val="1"/>
      <w:marLeft w:val="0"/>
      <w:marRight w:val="0"/>
      <w:marTop w:val="0"/>
      <w:marBottom w:val="0"/>
      <w:divBdr>
        <w:top w:val="none" w:sz="0" w:space="0" w:color="auto"/>
        <w:left w:val="none" w:sz="0" w:space="0" w:color="auto"/>
        <w:bottom w:val="none" w:sz="0" w:space="0" w:color="auto"/>
        <w:right w:val="none" w:sz="0" w:space="0" w:color="auto"/>
      </w:divBdr>
    </w:div>
    <w:div w:id="141127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371</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andersonl</dc:creator>
  <cp:lastModifiedBy>anac</cp:lastModifiedBy>
  <cp:revision>6</cp:revision>
  <cp:lastPrinted>2016-05-17T20:51:00Z</cp:lastPrinted>
  <dcterms:created xsi:type="dcterms:W3CDTF">2016-06-16T19:11:00Z</dcterms:created>
  <dcterms:modified xsi:type="dcterms:W3CDTF">2016-12-26T12:55:00Z</dcterms:modified>
</cp:coreProperties>
</file>